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2F" w:rsidRPr="00195C68" w:rsidRDefault="0011032F" w:rsidP="00110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95C6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Anexa nr. 9</w:t>
      </w:r>
    </w:p>
    <w:p w:rsidR="000F3052" w:rsidRDefault="000F3052" w:rsidP="00195C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:rsidR="0011032F" w:rsidRDefault="0011032F" w:rsidP="00195C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p w:rsidR="0011032F" w:rsidRPr="00195C68" w:rsidRDefault="0011032F" w:rsidP="0011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95C6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Determinarea cuantumului minim al chiriei</w:t>
      </w:r>
    </w:p>
    <w:p w:rsidR="0011032F" w:rsidRPr="00195C68" w:rsidRDefault="0011032F" w:rsidP="0011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95C6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bunurilor proprietate publică</w:t>
      </w:r>
    </w:p>
    <w:p w:rsidR="0011032F" w:rsidRPr="00195C68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1.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Cuantumul minim al chiriei anuale pentru folosirea încăperilor și suprafețelor amenajate se calculează după formula: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11032F" w:rsidRPr="0011032F" w:rsidRDefault="0011032F" w:rsidP="0011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ai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=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b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×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(1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+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1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+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2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+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3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×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4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×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S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</w:p>
    <w:p w:rsidR="0011032F" w:rsidRPr="0011032F" w:rsidRDefault="0011032F" w:rsidP="0011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care: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ai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–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cuantumul chiriei anuale;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b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tariful de bază pentru chiria anuală a unui metru pătrat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spaţiu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1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coeficientul de amplasare a încăperii/suprafeței amenajate;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2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–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coeficientul de amenajare tehnică;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3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coeficientul de ramură privind utilizarea încăperii/suprafeței amenajate;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4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coeficientul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S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suprafaţa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închiriată.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Valoarea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coeficienţilor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folosiţi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calcule se determină după următoarele criterii: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a) tariful de bază pentru chiria anuală a unui metru pătrat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spaţiu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b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):</w:t>
      </w: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municipiul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Chişinău</w:t>
            </w:r>
            <w:proofErr w:type="spellEnd"/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353,0 lei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municipiul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Bălţi</w:t>
            </w:r>
            <w:proofErr w:type="spellEnd"/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250,3 lei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celelalte municipii,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oraşele-reşedinţă</w:t>
            </w:r>
            <w:proofErr w:type="spellEnd"/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182,0 lei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oraşele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localităţile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suburbane din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componenţa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municipiilor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136,6 lei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localităţile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săteşti</w:t>
            </w:r>
            <w:proofErr w:type="spellEnd"/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45,6 lei</w:t>
            </w:r>
          </w:p>
        </w:tc>
      </w:tr>
    </w:tbl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b) coeficientul de amplasare a încăperii/suprafeței amenajate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(K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1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):</w:t>
      </w: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separată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0,5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construcţie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încorporată sau anexată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0,45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 supraterană, inclusiv parter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0,4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soclu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0,35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demisol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0,3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subsol cu geamuri, etaj tehnic,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acoperiş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suprafață amenajată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0,2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alte subsoluri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0,0</w:t>
            </w:r>
          </w:p>
        </w:tc>
      </w:tr>
    </w:tbl>
    <w:p w:rsidR="0011032F" w:rsidRPr="00195C68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c) coeficientul de amenajare tehnică (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2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):</w:t>
      </w: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apeduct, canalizare, apă caldă, încălzire centrală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0,5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apeduct, canalizare, încălzire centrală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0,4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apeduct, canalizare, apă caldă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0,3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apeduct, canalizare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0,2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încălzire centrală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0,2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lipseşte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amenajarea tehnică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0,0</w:t>
            </w:r>
          </w:p>
        </w:tc>
      </w:tr>
    </w:tbl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d) coeficientul de ramură privind utilizarea încăperii/suprafeței amenajate (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3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):</w:t>
      </w: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1) ateliere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creaţie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ale pictorilor, sculptorilor,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arhitecţilor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meşterilor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populari;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utilizate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chiriaşi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scopuri medicale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farmaceutice </w:t>
            </w:r>
            <w:r w:rsidR="007F467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organizațiile obștești ale persoanelor cu dizabilități și întreprinderile lor;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utilizate pentru realizarea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acţiunilor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masă din cadrul proiectelor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programelor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finanţate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la bugetul public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naţional</w:t>
            </w:r>
            <w:proofErr w:type="spellEnd"/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0,05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2)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instituţii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finanţate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la bugetul de stat, de la bugetele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unităţilor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administrativ-teritoriale, de la bugetul asigurărilor sociale de stat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din fondurile asigurării obligatorii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asistenţă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medicală, alte persoane juridice de drept public; patronate,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fundaţii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asociaţii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obşteşti</w:t>
            </w:r>
            <w:proofErr w:type="spellEnd"/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0,1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3)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pentru laboratoare, pentru instruire, pentru efectuarea de lucrări de cercetare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proiectare;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pentru prestarea de servicii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poştale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sportive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întremare a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sănătăţii</w:t>
            </w:r>
            <w:proofErr w:type="spellEnd"/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0,2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4) garaje, depozite,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tehnice (cu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excepţia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celor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menţionate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la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poziţia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6)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alte încăperi auxiliare;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pentru prestarea de servicii către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populaţie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(ateliere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reparaţie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încălţămintei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a îmbrăcămintei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obiectelor de uz casnic, frizerii,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curăţătorii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chimice, puncte de închiriere a obiectelor, băi, birouri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avocaţi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0,4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5)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folosite pentru comercializarea produselor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panificaţie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a produselor lactate, alimentare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cofetărie, a băuturilor nealcoolice;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alimentaţie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publică cu preparare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comercializare a bucatelor;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producţie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 sedii (încăperi) folosite de organele mijloacelor de informare în masă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0,5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6) încăperi pentru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reparaţia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deservirea tehnică a automobilelor, a tehnicii de calcul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altor utilaje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0,7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7)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spaţii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folosite în scopuri de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comerţ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altele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decît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cele prevăzute la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poziţia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5)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0,8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8) încăperi folosite pentru jocuri electronice, jocuri computerizate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alte jocuri distractive pentru copii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1,2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9) încăperi utilizate în calitate de oficii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1,5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10)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instituţii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financiare, burse, companii de asigurare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2,0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11) restaurante, baruri, cafenele cu servire a băuturilor alcoolice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2,5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12) case de schimb valutar, puncte de înregistrare video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închiriere a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producţiei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video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3,0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13) încăperi folosite pentru jocuri de noroc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4,0</w:t>
            </w:r>
          </w:p>
        </w:tc>
      </w:tr>
      <w:tr w:rsidR="0011032F" w:rsidTr="0011032F">
        <w:tc>
          <w:tcPr>
            <w:tcW w:w="7933" w:type="dxa"/>
          </w:tcPr>
          <w:p w:rsidR="0011032F" w:rsidRPr="00195C68" w:rsidRDefault="0011032F" w:rsidP="001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14) încăperi cu altă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destinaţie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decît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cele enumerate la </w:t>
            </w:r>
            <w:proofErr w:type="spellStart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poziţiile</w:t>
            </w:r>
            <w:proofErr w:type="spellEnd"/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1)–13), suprafețe amenajate</w:t>
            </w:r>
          </w:p>
        </w:tc>
        <w:tc>
          <w:tcPr>
            <w:tcW w:w="1411" w:type="dxa"/>
          </w:tcPr>
          <w:p w:rsidR="0011032F" w:rsidRPr="00195C68" w:rsidRDefault="0011032F" w:rsidP="001103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1,0</w:t>
            </w:r>
          </w:p>
        </w:tc>
      </w:tr>
    </w:tbl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e) coeficientul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4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se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stabileşte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prin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înţelegere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părţilor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nu poate fi mai mic de 1,0, iar pentru genurile de activitate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desfăşurate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încăperile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menţionate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lit. d)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poziţiile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1)–6), el nu poate fi mai mic de 0,5,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excepţie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făcînd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– încăperile folosite de organele mijloacelor de informare în masă, pentru care coeficientul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stabileşte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intervalul de la 1,0 la 1,5;</w:t>
      </w:r>
    </w:p>
    <w:p w:rsidR="00A707FB" w:rsidRDefault="00A707FB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707FB" w:rsidRDefault="00A707FB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–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spaţiile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utilizate pentru realizarea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acţiunilor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masă din cadrul proiectelor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programelor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finanţate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la bugetul public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naţional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spaţiile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folosite de către uniunile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creaţie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organizațiile obștești ale persoanelor cu dizabilități și întreprinderile lor, precum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spaţiile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clădirea Parlamentului, utilizate de unitatea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alimentaţie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publică cu preparare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comercializare a bucatelor, pentru care coeficientul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stabileşte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mărime de 0,1.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stabilirea acestui coeficient trebuie să se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ţină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cont de cererea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oferta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spaţiilor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ce ar putea fi date în chirie, de posibilitatea utilizării terenului aferent, de caracteristicile teritorial-economice ale zonei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alte criterii calitative, necuprinse în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coeficienţii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aplicaţi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ale încăperilor/suprafețelor amenajate.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cazul în care se dau în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mai multe încăperi cu diferite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condiţii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amplasare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amenajare tehnică sau încăperi care vor fi utilizate în diverse scopuri, cuantumul total al chiriei se constituie din suma chiriilor calculate pentru fiecare încăpere sau grup de încăperi.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Pr="007F4675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707F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Notă</w:t>
      </w:r>
      <w:r w:rsidR="007F4675" w:rsidRPr="00A707F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7F46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sensul prezentei legi, suprafaț</w:t>
      </w:r>
      <w:r w:rsidR="007E2CC7" w:rsidRPr="007F46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7F46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amenajată presupune suprafața terenului aferentă clădirii, amenajată (asfaltată), care poate fi dată în chirie.</w:t>
      </w: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2.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Cuantumul chiriei anuale pentru utilajul, mijloacele de transport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alte mijloace fixe (denumite în continuare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utilaj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date în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calculează după formula: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11032F" w:rsidRPr="0011032F" w:rsidRDefault="0011032F" w:rsidP="0011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au</w:t>
      </w:r>
      <w:proofErr w:type="spellEnd"/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= </w:t>
      </w:r>
      <w:proofErr w:type="spellStart"/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U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×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1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× 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2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+ Q,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care: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au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cuantumul chiriei anuale pentru utilajul dat în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U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amortizarea/uzura anuală a utilajului dat în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1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coeficientul de calcul;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2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coeficientul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Q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cheltuielile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întreţinere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exploatare a utilajului dat în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suportate de locator.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Valoarea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coeficienţilor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folosiţi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calcule se determină după următoarele criterii:</w:t>
      </w:r>
    </w:p>
    <w:p w:rsidR="0011032F" w:rsidRP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a) amortizarea/uzura anuală a utilajului (</w:t>
      </w:r>
      <w:proofErr w:type="spellStart"/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U</w:t>
      </w:r>
      <w:r w:rsidRPr="0011032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se calculează pentru fiecare obiect de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evidenţă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potrivit prevederilor Catalogului mijloacelor fixe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activelor nemateriale, aprobat prin </w:t>
      </w:r>
      <w:proofErr w:type="spellStart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Hotărîrea</w:t>
      </w:r>
      <w:proofErr w:type="spellEnd"/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nr. 338/2003, conform </w:t>
      </w:r>
      <w:r w:rsid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</w:t>
      </w:r>
      <w:r w:rsidRPr="0011032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tabelului nr. 1:</w:t>
      </w: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707FB" w:rsidRDefault="00A707FB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1032F" w:rsidRDefault="0011032F" w:rsidP="0011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F4675" w:rsidRPr="0011032F" w:rsidRDefault="007F4675" w:rsidP="007F46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Tabelul nr. 1 </w:t>
      </w:r>
    </w:p>
    <w:p w:rsidR="0011032F" w:rsidRPr="00195C68" w:rsidRDefault="0011032F" w:rsidP="00195C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</w:p>
    <w:tbl>
      <w:tblPr>
        <w:tblW w:w="523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861"/>
        <w:gridCol w:w="547"/>
        <w:gridCol w:w="1608"/>
        <w:gridCol w:w="864"/>
        <w:gridCol w:w="1022"/>
        <w:gridCol w:w="1022"/>
        <w:gridCol w:w="807"/>
        <w:gridCol w:w="766"/>
        <w:gridCol w:w="1065"/>
        <w:gridCol w:w="879"/>
      </w:tblGrid>
      <w:tr w:rsidR="007E2CC7" w:rsidRPr="0060343E" w:rsidTr="00621D75">
        <w:trPr>
          <w:jc w:val="center"/>
        </w:trPr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Nr.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crt.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Denumirea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utilajului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Nr. de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inven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-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Durata de utilizare/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 xml:space="preserve">durata de </w:t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funcţionare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utilă, în ani.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Distanţa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, 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Costul de </w:t>
            </w:r>
          </w:p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intrare/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valoarea</w:t>
            </w:r>
          </w:p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iniţială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sau</w:t>
            </w:r>
          </w:p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valoarea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reevaluată,</w:t>
            </w:r>
          </w:p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în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Amortizarea/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uzura la data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dării în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locaţiune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,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în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Amortizarea/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 xml:space="preserve">uzura anuală 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br/>
              <w:t>(</w:t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t>Ua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t>)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, în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Coefi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-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cientul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 de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 xml:space="preserve">calcul 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t>(K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  <w:lang w:val="ro-RO" w:eastAsia="ru-RU"/>
              </w:rPr>
              <w:t>1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Coefi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-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cientul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 de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piaţă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 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t>(K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  <w:lang w:val="ro-RO" w:eastAsia="ru-RU"/>
              </w:rPr>
              <w:t>2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Cheltuielile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 xml:space="preserve"> de </w:t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întreţinere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şi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 exploatare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(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t>Q)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, în lei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Cuantumul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chiriei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 xml:space="preserve">anuale 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br/>
              <w:t>(</w:t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o-RO" w:eastAsia="ru-RU"/>
              </w:rPr>
              <w:t>P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bscript"/>
                <w:lang w:val="ro-RO" w:eastAsia="ru-RU"/>
              </w:rPr>
              <w:t>au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), în lei</w:t>
            </w:r>
          </w:p>
        </w:tc>
      </w:tr>
      <w:tr w:rsidR="007E2CC7" w:rsidRPr="00195C68" w:rsidTr="007E2CC7">
        <w:trPr>
          <w:jc w:val="center"/>
        </w:trPr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11</w:t>
            </w:r>
          </w:p>
        </w:tc>
      </w:tr>
    </w:tbl>
    <w:p w:rsidR="007E2CC7" w:rsidRDefault="007E2CC7" w:rsidP="0019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b) coeficientul de calcul (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1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se va stabili în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funcţie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amortizarea/uzura de la data dării în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utilajului (tabelul nr.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2).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E2CC7" w:rsidRPr="007E2CC7" w:rsidRDefault="007E2CC7" w:rsidP="007E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Tabelul nr. 2</w:t>
      </w:r>
    </w:p>
    <w:p w:rsidR="007E2CC7" w:rsidRPr="00195C68" w:rsidRDefault="007E2CC7" w:rsidP="00195C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ro-RO" w:eastAsia="ru-RU"/>
        </w:rPr>
      </w:pPr>
    </w:p>
    <w:p w:rsidR="007E2CC7" w:rsidRPr="007E2CC7" w:rsidRDefault="007E2CC7">
      <w:pPr>
        <w:rPr>
          <w:lang w:val="en-US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710"/>
        <w:gridCol w:w="568"/>
        <w:gridCol w:w="566"/>
        <w:gridCol w:w="568"/>
        <w:gridCol w:w="700"/>
        <w:gridCol w:w="613"/>
        <w:gridCol w:w="519"/>
        <w:gridCol w:w="519"/>
        <w:gridCol w:w="624"/>
        <w:gridCol w:w="710"/>
        <w:gridCol w:w="698"/>
      </w:tblGrid>
      <w:tr w:rsidR="007E2CC7" w:rsidRPr="007E2CC7" w:rsidTr="00621D75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Mărimea de amortizare/de uzură </w:t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U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ro-RO" w:eastAsia="ru-RU"/>
              </w:rPr>
              <w:t>a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(%)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70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100</w:t>
            </w:r>
          </w:p>
        </w:tc>
      </w:tr>
      <w:tr w:rsidR="007E2CC7" w:rsidRPr="00195C68" w:rsidTr="007E2CC7">
        <w:trPr>
          <w:jc w:val="center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K</w:t>
            </w:r>
            <w:r w:rsidRPr="0019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o-RO" w:eastAsia="ru-RU"/>
              </w:rPr>
              <w:t>1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1,88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1,79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1,71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1,62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1,53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1,27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1,18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1,09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1,0</w:t>
            </w:r>
          </w:p>
        </w:tc>
      </w:tr>
    </w:tbl>
    <w:p w:rsidR="007E2CC7" w:rsidRDefault="007E2CC7" w:rsidP="007E2CC7">
      <w:pPr>
        <w:spacing w:after="0" w:line="240" w:lineRule="auto"/>
      </w:pP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coeficientul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2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se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stabileşte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prin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înţelegere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părţilor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nu poate fi mai mic de 1,0. La stabilirea acestui coeficient se va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ţine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cont de cerere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ofertă, de venitul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neobţinut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diferenţa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dintre valoarea contabilă/valoarea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bilanţ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preţul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utilajul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acelaşi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tip sau cu caracteristici comparabile, precum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alţi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factori.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Excepţie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fac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autorităţile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instituţiile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bugetare la darea în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utilajului altor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autorităţi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instituţii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bugetare, pentru care coeficientul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stabileşte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mărime de 1,0, precum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unitatea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alimentaţie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publică cu preparare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comercializare a bucatelor în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spaţiile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clădirea Parlamentului, pentru care coeficientul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stabileşte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mărime de 0,2.</w:t>
      </w:r>
    </w:p>
    <w:p w:rsidR="007E2CC7" w:rsidRDefault="007E2CC7" w:rsidP="007F46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cazul în care mărimea cheltuielilor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întreţinere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exploatare a utilajului (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Q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variază, aceasta se recalculează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achită suplimentar.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3.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Cuantumul chiriei anuale pentru folosirea activelor circulante se calculează după formula: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7E2CC7" w:rsidRPr="007E2CC7" w:rsidRDefault="007E2CC7" w:rsidP="007E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ac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= 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C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× 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R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× 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,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care: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ro-RO" w:eastAsia="ru-RU"/>
        </w:rPr>
        <w:t>ac</w:t>
      </w: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–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cuantumul chiriei anuale pentru folosirea activelor circulante;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C –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valoarea contabilă/valoarea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bilanţ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activelor circulante la data calculării chiriei;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R –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rata de bază aplicată de Banca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Naţională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Moldovei la principalele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operaţiuni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politică monetară pe termen scurt;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coeficientul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Valoarea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coeficienţilor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folosiţi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calcule se determină după următ</w:t>
      </w:r>
      <w:bookmarkStart w:id="0" w:name="_GoBack"/>
      <w:bookmarkEnd w:id="0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oarele criterii: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a) valoarea contabilă/valoarea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bilanţ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activelor circulante se calculează pentru fiecare obiect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evidenţă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conform tabelului nr.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3:</w:t>
      </w:r>
    </w:p>
    <w:p w:rsidR="007E2CC7" w:rsidRPr="00195C68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7E2CC7" w:rsidRPr="007E2CC7" w:rsidRDefault="007E2CC7" w:rsidP="007E2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Tabelul nr.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</w:p>
    <w:p w:rsidR="007E2CC7" w:rsidRDefault="007E2CC7" w:rsidP="007E2CC7"/>
    <w:p w:rsidR="000F3052" w:rsidRPr="00195C68" w:rsidRDefault="000F3052" w:rsidP="00195C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ro-RO" w:eastAsia="ru-RU"/>
        </w:rPr>
      </w:pP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478"/>
        <w:gridCol w:w="1176"/>
        <w:gridCol w:w="1107"/>
        <w:gridCol w:w="1967"/>
        <w:gridCol w:w="1878"/>
        <w:gridCol w:w="733"/>
      </w:tblGrid>
      <w:tr w:rsidR="000F3052" w:rsidRPr="007E2CC7" w:rsidTr="007F4675">
        <w:trPr>
          <w:jc w:val="center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Denumirea activelor circulante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Cantitatea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Unitatea de măsură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Valoarea contabilă/ valoarea de </w:t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bilanţ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a unei </w:t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unităţi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la data calculării chiriei, în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Valoarea contabilă/ valoarea de </w:t>
            </w:r>
            <w:proofErr w:type="spellStart"/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bilanţ</w:t>
            </w:r>
            <w:proofErr w:type="spellEnd"/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totală la data calculării chiriei, în lei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7E2CC7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Note</w:t>
            </w:r>
          </w:p>
        </w:tc>
      </w:tr>
      <w:tr w:rsidR="000F3052" w:rsidRPr="00195C68" w:rsidTr="007F4675">
        <w:trPr>
          <w:jc w:val="center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F3052" w:rsidRPr="00195C68" w:rsidRDefault="000F3052" w:rsidP="0019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195C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</w:t>
            </w:r>
          </w:p>
        </w:tc>
      </w:tr>
    </w:tbl>
    <w:p w:rsidR="007E2CC7" w:rsidRDefault="007E2CC7"/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b) rata de bază aplicată de Banca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Naţională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Moldovei la principalele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operaţiuni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politică monetară pe termen scurt se publică periodic în presă. În calcule se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foloseşte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valoarea ratei în vigoare la data încheierii contractului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coeficientul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stabileşte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prin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înţelegerea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părţilor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nu poate fi mai mic de 1,0.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După încetarea efectului contractului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locatarul restituie activele circulante în volumele fixate la data dării lor în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În cazul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imposibilităţii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restituire a activelor circulante, costul lor se recuperează la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preţurile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piaţă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sînt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vigoare la data încetării efectului contractului de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locaţiune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4.</w:t>
      </w: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Cuantumul minim al chiriei bunurilor proprietate publică se </w:t>
      </w:r>
      <w:proofErr w:type="spellStart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stabileşte</w:t>
      </w:r>
      <w:proofErr w:type="spellEnd"/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fără taxă pe valoarea adăugată.</w:t>
      </w:r>
    </w:p>
    <w:p w:rsidR="007E2CC7" w:rsidRPr="007E2CC7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E2CC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Dacă locatorul este înregistrat ca contribuabil al taxei pe valoarea adăugată, chiria va fi încasată de la locatar cu aplicarea taxei pe valoarea adăugată, calculată suplimentar la valoarea serviciilor prestate.</w:t>
      </w:r>
    </w:p>
    <w:p w:rsidR="007E2CC7" w:rsidRPr="00195C68" w:rsidRDefault="007E2CC7" w:rsidP="007E2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7E2CC7" w:rsidRPr="00621D75" w:rsidRDefault="007E2CC7" w:rsidP="007E2CC7">
      <w:pPr>
        <w:ind w:firstLine="567"/>
        <w:rPr>
          <w:lang w:val="en-US"/>
        </w:rPr>
      </w:pPr>
      <w:r w:rsidRPr="00195C6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Notă.</w:t>
      </w:r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Prevederile prezentei anexe nu se aplică raporturil</w:t>
      </w:r>
      <w:r w:rsidR="00621D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</w:t>
      </w:r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juridice reglementate de Legea nr.</w:t>
      </w:r>
      <w:r w:rsidR="00621D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28/2016 privind accesul pe </w:t>
      </w:r>
      <w:proofErr w:type="spellStart"/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proprietăţi</w:t>
      </w:r>
      <w:proofErr w:type="spellEnd"/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utilizarea partajată a infrastructurii asociate </w:t>
      </w:r>
      <w:proofErr w:type="spellStart"/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reţelelor</w:t>
      </w:r>
      <w:proofErr w:type="spellEnd"/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de </w:t>
      </w:r>
      <w:proofErr w:type="spellStart"/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comunicaţii</w:t>
      </w:r>
      <w:proofErr w:type="spellEnd"/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electronice.</w:t>
      </w:r>
    </w:p>
    <w:p w:rsidR="000F3052" w:rsidRPr="00195C68" w:rsidRDefault="000F3052" w:rsidP="00195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5C6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</w:p>
    <w:sectPr w:rsidR="000F3052" w:rsidRPr="00195C68" w:rsidSect="00195C68">
      <w:headerReference w:type="default" r:id="rId7"/>
      <w:footerReference w:type="default" r:id="rId8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54" w:rsidRDefault="009C4754" w:rsidP="003443C8">
      <w:pPr>
        <w:spacing w:after="0" w:line="240" w:lineRule="auto"/>
      </w:pPr>
      <w:r>
        <w:separator/>
      </w:r>
    </w:p>
  </w:endnote>
  <w:endnote w:type="continuationSeparator" w:id="0">
    <w:p w:rsidR="009C4754" w:rsidRDefault="009C4754" w:rsidP="0034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C8" w:rsidRDefault="003443C8">
    <w:pPr>
      <w:pStyle w:val="Subsol"/>
      <w:jc w:val="right"/>
    </w:pPr>
  </w:p>
  <w:p w:rsidR="003443C8" w:rsidRDefault="003443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54" w:rsidRDefault="009C4754" w:rsidP="003443C8">
      <w:pPr>
        <w:spacing w:after="0" w:line="240" w:lineRule="auto"/>
      </w:pPr>
      <w:r>
        <w:separator/>
      </w:r>
    </w:p>
  </w:footnote>
  <w:footnote w:type="continuationSeparator" w:id="0">
    <w:p w:rsidR="009C4754" w:rsidRDefault="009C4754" w:rsidP="0034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57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5C68" w:rsidRDefault="00195C68">
        <w:pPr>
          <w:pStyle w:val="Ante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5C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5C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5C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95C68">
          <w:rPr>
            <w:rFonts w:ascii="Times New Roman" w:hAnsi="Times New Roman" w:cs="Times New Roman"/>
            <w:sz w:val="28"/>
            <w:szCs w:val="28"/>
            <w:lang w:val="ro-RO"/>
          </w:rPr>
          <w:t>2</w:t>
        </w:r>
        <w:r w:rsidRPr="00195C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95C68" w:rsidRPr="00195C68" w:rsidRDefault="00195C68" w:rsidP="00195C68">
        <w:pPr>
          <w:pStyle w:val="Antet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ro-MD"/>
          </w:rPr>
          <w:t xml:space="preserve">Anexa nr. </w:t>
        </w:r>
        <w:r>
          <w:rPr>
            <w:rFonts w:ascii="Times New Roman" w:hAnsi="Times New Roman" w:cs="Times New Roman"/>
            <w:sz w:val="28"/>
            <w:szCs w:val="28"/>
            <w:lang w:val="ro-MD"/>
          </w:rPr>
          <w:t>9 (</w:t>
        </w:r>
        <w:r w:rsidR="0060343E">
          <w:rPr>
            <w:rFonts w:ascii="Times New Roman" w:hAnsi="Times New Roman" w:cs="Times New Roman"/>
            <w:sz w:val="28"/>
            <w:szCs w:val="28"/>
            <w:lang w:val="ro-MD"/>
          </w:rPr>
          <w:t>continuare</w:t>
        </w:r>
        <w:r>
          <w:rPr>
            <w:rFonts w:ascii="Times New Roman" w:hAnsi="Times New Roman" w:cs="Times New Roman"/>
            <w:sz w:val="28"/>
            <w:szCs w:val="28"/>
            <w:lang w:val="ro-MD"/>
          </w:rPr>
          <w:t>)</w:t>
        </w:r>
      </w:p>
    </w:sdtContent>
  </w:sdt>
  <w:p w:rsidR="003443C8" w:rsidRDefault="003443C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44"/>
    <w:rsid w:val="00000A44"/>
    <w:rsid w:val="000A0DB2"/>
    <w:rsid w:val="000D6172"/>
    <w:rsid w:val="000F3052"/>
    <w:rsid w:val="0011032F"/>
    <w:rsid w:val="00153E48"/>
    <w:rsid w:val="00182AB2"/>
    <w:rsid w:val="00195C68"/>
    <w:rsid w:val="00212D34"/>
    <w:rsid w:val="00225916"/>
    <w:rsid w:val="002341A9"/>
    <w:rsid w:val="00280DA1"/>
    <w:rsid w:val="002F7337"/>
    <w:rsid w:val="003443C8"/>
    <w:rsid w:val="004F732C"/>
    <w:rsid w:val="0060343E"/>
    <w:rsid w:val="006164DA"/>
    <w:rsid w:val="00621D75"/>
    <w:rsid w:val="00656668"/>
    <w:rsid w:val="00787B67"/>
    <w:rsid w:val="007E2CC7"/>
    <w:rsid w:val="007E66D3"/>
    <w:rsid w:val="007F4675"/>
    <w:rsid w:val="00891948"/>
    <w:rsid w:val="00911797"/>
    <w:rsid w:val="009C4754"/>
    <w:rsid w:val="00A431EF"/>
    <w:rsid w:val="00A47DDB"/>
    <w:rsid w:val="00A5231E"/>
    <w:rsid w:val="00A707FB"/>
    <w:rsid w:val="00BD27C7"/>
    <w:rsid w:val="00BD3901"/>
    <w:rsid w:val="00C10F2C"/>
    <w:rsid w:val="00C976CB"/>
    <w:rsid w:val="00DC2790"/>
    <w:rsid w:val="00E61960"/>
    <w:rsid w:val="00E86221"/>
    <w:rsid w:val="00E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6DB9"/>
  <w15:chartTrackingRefBased/>
  <w15:docId w15:val="{644DF068-8CDD-4B0E-AB63-0693878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Normal"/>
    <w:rsid w:val="000F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0F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790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34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43C8"/>
  </w:style>
  <w:style w:type="paragraph" w:styleId="Subsol">
    <w:name w:val="footer"/>
    <w:basedOn w:val="Normal"/>
    <w:link w:val="SubsolCaracter"/>
    <w:uiPriority w:val="99"/>
    <w:unhideWhenUsed/>
    <w:rsid w:val="0034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43C8"/>
  </w:style>
  <w:style w:type="table" w:styleId="Tabelgril">
    <w:name w:val="Table Grid"/>
    <w:basedOn w:val="TabelNormal"/>
    <w:uiPriority w:val="39"/>
    <w:rsid w:val="0011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3E91-2FA0-42D9-9739-5A567E58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Prodan</dc:creator>
  <cp:keywords/>
  <dc:description/>
  <cp:lastModifiedBy>Maria Marin</cp:lastModifiedBy>
  <cp:revision>3</cp:revision>
  <cp:lastPrinted>2018-12-07T09:45:00Z</cp:lastPrinted>
  <dcterms:created xsi:type="dcterms:W3CDTF">2018-12-05T06:26:00Z</dcterms:created>
  <dcterms:modified xsi:type="dcterms:W3CDTF">2018-12-07T09:45:00Z</dcterms:modified>
</cp:coreProperties>
</file>